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41117" w14:textId="77777777" w:rsidR="001A75B5" w:rsidRDefault="001A75B5" w:rsidP="001A75B5">
      <w:pPr>
        <w:pStyle w:val="Default"/>
        <w:spacing w:line="276" w:lineRule="auto"/>
        <w:jc w:val="center"/>
        <w:rPr>
          <w:rFonts w:ascii="Arial" w:hAnsi="Arial" w:cs="Arial"/>
          <w:b/>
          <w:sz w:val="20"/>
          <w:szCs w:val="20"/>
        </w:rPr>
      </w:pPr>
    </w:p>
    <w:p w14:paraId="5F30663C" w14:textId="77777777" w:rsidR="001A75B5" w:rsidRDefault="001A75B5" w:rsidP="001A75B5">
      <w:pPr>
        <w:pStyle w:val="Default"/>
        <w:spacing w:line="276" w:lineRule="auto"/>
        <w:jc w:val="center"/>
        <w:rPr>
          <w:rFonts w:ascii="Arial" w:hAnsi="Arial" w:cs="Arial"/>
          <w:b/>
          <w:sz w:val="20"/>
          <w:szCs w:val="20"/>
        </w:rPr>
      </w:pPr>
    </w:p>
    <w:p w14:paraId="5ECF058E" w14:textId="77777777" w:rsidR="001A75B5" w:rsidRDefault="001A75B5" w:rsidP="001A75B5">
      <w:pPr>
        <w:pStyle w:val="Default"/>
        <w:spacing w:line="276" w:lineRule="auto"/>
        <w:jc w:val="center"/>
        <w:rPr>
          <w:rFonts w:ascii="Arial" w:hAnsi="Arial" w:cs="Arial"/>
          <w:b/>
          <w:sz w:val="20"/>
          <w:szCs w:val="20"/>
        </w:rPr>
      </w:pPr>
    </w:p>
    <w:p w14:paraId="4714F8CB" w14:textId="77777777" w:rsidR="001A75B5" w:rsidRDefault="001A75B5" w:rsidP="001A75B5">
      <w:pPr>
        <w:pStyle w:val="Default"/>
        <w:spacing w:line="276" w:lineRule="auto"/>
        <w:jc w:val="center"/>
        <w:rPr>
          <w:rFonts w:ascii="Arial" w:hAnsi="Arial" w:cs="Arial"/>
          <w:b/>
          <w:sz w:val="20"/>
          <w:szCs w:val="20"/>
        </w:rPr>
      </w:pPr>
    </w:p>
    <w:p w14:paraId="0A996648" w14:textId="280CA1EF" w:rsidR="001A75B5" w:rsidRDefault="001A75B5" w:rsidP="001A75B5">
      <w:pPr>
        <w:pStyle w:val="Default"/>
        <w:spacing w:line="276" w:lineRule="auto"/>
        <w:jc w:val="center"/>
        <w:rPr>
          <w:rFonts w:ascii="Arial" w:hAnsi="Arial" w:cs="Arial"/>
          <w:b/>
          <w:sz w:val="20"/>
          <w:szCs w:val="20"/>
        </w:rPr>
      </w:pPr>
      <w:r>
        <w:rPr>
          <w:rFonts w:ascii="Arial" w:hAnsi="Arial" w:cs="Arial"/>
          <w:b/>
          <w:sz w:val="20"/>
          <w:szCs w:val="20"/>
        </w:rPr>
        <w:t>Detailed Notice Inviting Tenders NIT No: CO/BSD/Elect-</w:t>
      </w:r>
      <w:r w:rsidR="0001257E">
        <w:rPr>
          <w:rFonts w:ascii="Arial" w:hAnsi="Arial" w:cs="Arial"/>
          <w:b/>
          <w:sz w:val="20"/>
          <w:szCs w:val="20"/>
        </w:rPr>
        <w:t>BKC</w:t>
      </w:r>
      <w:r>
        <w:rPr>
          <w:rFonts w:ascii="Arial" w:hAnsi="Arial" w:cs="Arial"/>
          <w:b/>
          <w:sz w:val="20"/>
          <w:szCs w:val="20"/>
        </w:rPr>
        <w:t>/202</w:t>
      </w:r>
      <w:r w:rsidR="0001257E">
        <w:rPr>
          <w:rFonts w:ascii="Arial" w:hAnsi="Arial" w:cs="Arial"/>
          <w:b/>
          <w:sz w:val="20"/>
          <w:szCs w:val="20"/>
        </w:rPr>
        <w:t>5</w:t>
      </w:r>
      <w:r>
        <w:rPr>
          <w:rFonts w:ascii="Arial" w:hAnsi="Arial" w:cs="Arial"/>
          <w:b/>
          <w:sz w:val="20"/>
          <w:szCs w:val="20"/>
        </w:rPr>
        <w:t>-2</w:t>
      </w:r>
      <w:r w:rsidR="0001257E">
        <w:rPr>
          <w:rFonts w:ascii="Arial" w:hAnsi="Arial" w:cs="Arial"/>
          <w:b/>
          <w:sz w:val="20"/>
          <w:szCs w:val="20"/>
        </w:rPr>
        <w:t>6</w:t>
      </w:r>
      <w:r>
        <w:rPr>
          <w:rFonts w:ascii="Arial" w:hAnsi="Arial" w:cs="Arial"/>
          <w:b/>
          <w:sz w:val="20"/>
          <w:szCs w:val="20"/>
        </w:rPr>
        <w:t>/</w:t>
      </w:r>
      <w:r w:rsidR="0001257E">
        <w:rPr>
          <w:rFonts w:ascii="Arial" w:hAnsi="Arial" w:cs="Arial"/>
          <w:b/>
          <w:sz w:val="20"/>
          <w:szCs w:val="20"/>
        </w:rPr>
        <w:t>01</w:t>
      </w:r>
      <w:r>
        <w:rPr>
          <w:rFonts w:ascii="Arial" w:hAnsi="Arial" w:cs="Arial"/>
          <w:b/>
          <w:sz w:val="20"/>
          <w:szCs w:val="20"/>
          <w:highlight w:val="yellow"/>
        </w:rPr>
        <w:t>:</w:t>
      </w:r>
      <w:r w:rsidR="0001257E">
        <w:rPr>
          <w:rFonts w:ascii="Arial" w:hAnsi="Arial" w:cs="Arial"/>
          <w:b/>
          <w:sz w:val="20"/>
          <w:szCs w:val="20"/>
        </w:rPr>
        <w:t>2</w:t>
      </w:r>
      <w:r>
        <w:rPr>
          <w:rFonts w:ascii="Arial" w:hAnsi="Arial" w:cs="Arial"/>
          <w:b/>
          <w:sz w:val="20"/>
          <w:szCs w:val="20"/>
        </w:rPr>
        <w:t>5.0</w:t>
      </w:r>
      <w:r w:rsidR="0001257E">
        <w:rPr>
          <w:rFonts w:ascii="Arial" w:hAnsi="Arial" w:cs="Arial"/>
          <w:b/>
          <w:sz w:val="20"/>
          <w:szCs w:val="20"/>
        </w:rPr>
        <w:t>6</w:t>
      </w:r>
      <w:r>
        <w:rPr>
          <w:rFonts w:ascii="Arial" w:hAnsi="Arial" w:cs="Arial"/>
          <w:b/>
          <w:sz w:val="20"/>
          <w:szCs w:val="20"/>
        </w:rPr>
        <w:t>.2</w:t>
      </w:r>
      <w:r w:rsidR="0001257E">
        <w:rPr>
          <w:rFonts w:ascii="Arial" w:hAnsi="Arial" w:cs="Arial"/>
          <w:b/>
          <w:sz w:val="20"/>
          <w:szCs w:val="20"/>
        </w:rPr>
        <w:t>7</w:t>
      </w:r>
    </w:p>
    <w:p w14:paraId="39F5862A" w14:textId="77777777" w:rsidR="001A75B5" w:rsidRDefault="001A75B5" w:rsidP="001A75B5">
      <w:pPr>
        <w:pStyle w:val="Default"/>
        <w:spacing w:line="276" w:lineRule="auto"/>
        <w:jc w:val="center"/>
        <w:rPr>
          <w:rFonts w:ascii="Arial" w:hAnsi="Arial" w:cs="Arial"/>
          <w:sz w:val="20"/>
          <w:szCs w:val="20"/>
        </w:rPr>
      </w:pPr>
    </w:p>
    <w:p w14:paraId="1B28C0F7"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Central Bank of India, a body corporate constituted in India under the Banking Companies (Aquisition and Transfer of Undertaking) Act 1970 having its Head Office at Chander Mukhi, Nariman Point, Mumbai - 400021 hereinafter called "Bank" invites Online tenders from eligible bidders for the goods/services as briefly outlined below. For complete description of the requirement, please refer to the tender document.</w:t>
      </w:r>
    </w:p>
    <w:p w14:paraId="057F970E" w14:textId="77777777" w:rsidR="001A75B5" w:rsidRDefault="001A75B5" w:rsidP="001A75B5">
      <w:pPr>
        <w:pStyle w:val="Default"/>
        <w:spacing w:line="276" w:lineRule="auto"/>
        <w:jc w:val="both"/>
        <w:rPr>
          <w:rFonts w:ascii="Arial" w:hAnsi="Arial" w:cs="Arial"/>
          <w:sz w:val="20"/>
          <w:szCs w:val="20"/>
        </w:rPr>
      </w:pPr>
    </w:p>
    <w:tbl>
      <w:tblPr>
        <w:tblStyle w:val="TableGrid"/>
        <w:tblW w:w="4900" w:type="pct"/>
        <w:tblLook w:val="04A0" w:firstRow="1" w:lastRow="0" w:firstColumn="1" w:lastColumn="0" w:noHBand="0" w:noVBand="1"/>
      </w:tblPr>
      <w:tblGrid>
        <w:gridCol w:w="1278"/>
        <w:gridCol w:w="2741"/>
        <w:gridCol w:w="1228"/>
        <w:gridCol w:w="1024"/>
        <w:gridCol w:w="1283"/>
        <w:gridCol w:w="1282"/>
      </w:tblGrid>
      <w:tr w:rsidR="001A75B5" w14:paraId="6810779A" w14:textId="77777777" w:rsidTr="001A75B5">
        <w:tc>
          <w:tcPr>
            <w:tcW w:w="726" w:type="pct"/>
            <w:tcBorders>
              <w:top w:val="single" w:sz="4" w:space="0" w:color="auto"/>
              <w:left w:val="single" w:sz="4" w:space="0" w:color="auto"/>
              <w:bottom w:val="single" w:sz="4" w:space="0" w:color="auto"/>
              <w:right w:val="single" w:sz="4" w:space="0" w:color="auto"/>
            </w:tcBorders>
            <w:hideMark/>
          </w:tcPr>
          <w:p w14:paraId="0AD2A6F7" w14:textId="77777777" w:rsidR="001A75B5" w:rsidRDefault="001A75B5">
            <w:pPr>
              <w:pStyle w:val="Default"/>
              <w:spacing w:line="276" w:lineRule="auto"/>
              <w:jc w:val="both"/>
              <w:rPr>
                <w:rFonts w:ascii="Arial" w:hAnsi="Arial" w:cs="Arial"/>
                <w:sz w:val="20"/>
                <w:szCs w:val="20"/>
              </w:rPr>
            </w:pPr>
            <w:r>
              <w:rPr>
                <w:rFonts w:ascii="Arial" w:hAnsi="Arial" w:cs="Arial"/>
                <w:sz w:val="20"/>
                <w:szCs w:val="20"/>
              </w:rPr>
              <w:t>Pkg No.</w:t>
            </w:r>
          </w:p>
        </w:tc>
        <w:tc>
          <w:tcPr>
            <w:tcW w:w="1554" w:type="pct"/>
            <w:tcBorders>
              <w:top w:val="single" w:sz="4" w:space="0" w:color="auto"/>
              <w:left w:val="single" w:sz="4" w:space="0" w:color="auto"/>
              <w:bottom w:val="single" w:sz="4" w:space="0" w:color="auto"/>
              <w:right w:val="single" w:sz="4" w:space="0" w:color="auto"/>
            </w:tcBorders>
            <w:hideMark/>
          </w:tcPr>
          <w:p w14:paraId="4E5C1205" w14:textId="77777777" w:rsidR="001A75B5" w:rsidRDefault="001A75B5">
            <w:pPr>
              <w:pStyle w:val="Default"/>
              <w:spacing w:line="276" w:lineRule="auto"/>
              <w:jc w:val="both"/>
              <w:rPr>
                <w:rFonts w:ascii="Arial" w:hAnsi="Arial" w:cs="Arial"/>
                <w:sz w:val="20"/>
                <w:szCs w:val="20"/>
              </w:rPr>
            </w:pPr>
            <w:r>
              <w:rPr>
                <w:rFonts w:ascii="Arial" w:hAnsi="Arial" w:cs="Arial"/>
                <w:sz w:val="20"/>
                <w:szCs w:val="20"/>
              </w:rPr>
              <w:t>Description</w:t>
            </w:r>
          </w:p>
        </w:tc>
        <w:tc>
          <w:tcPr>
            <w:tcW w:w="681" w:type="pct"/>
            <w:tcBorders>
              <w:top w:val="single" w:sz="4" w:space="0" w:color="auto"/>
              <w:left w:val="single" w:sz="4" w:space="0" w:color="auto"/>
              <w:bottom w:val="single" w:sz="4" w:space="0" w:color="auto"/>
              <w:right w:val="single" w:sz="4" w:space="0" w:color="auto"/>
            </w:tcBorders>
            <w:hideMark/>
          </w:tcPr>
          <w:p w14:paraId="3D2C1DD0" w14:textId="77777777" w:rsidR="001A75B5" w:rsidRDefault="001A75B5">
            <w:pPr>
              <w:pStyle w:val="Default"/>
              <w:spacing w:line="276" w:lineRule="auto"/>
              <w:jc w:val="both"/>
              <w:rPr>
                <w:rFonts w:ascii="Arial" w:hAnsi="Arial" w:cs="Arial"/>
                <w:sz w:val="20"/>
                <w:szCs w:val="20"/>
              </w:rPr>
            </w:pPr>
            <w:r>
              <w:rPr>
                <w:rFonts w:ascii="Arial" w:hAnsi="Arial" w:cs="Arial"/>
                <w:sz w:val="20"/>
                <w:szCs w:val="20"/>
              </w:rPr>
              <w:t>Delivery/ Completion Period</w:t>
            </w:r>
          </w:p>
        </w:tc>
        <w:tc>
          <w:tcPr>
            <w:tcW w:w="582" w:type="pct"/>
            <w:tcBorders>
              <w:top w:val="single" w:sz="4" w:space="0" w:color="auto"/>
              <w:left w:val="single" w:sz="4" w:space="0" w:color="auto"/>
              <w:bottom w:val="single" w:sz="4" w:space="0" w:color="auto"/>
              <w:right w:val="single" w:sz="4" w:space="0" w:color="auto"/>
            </w:tcBorders>
            <w:hideMark/>
          </w:tcPr>
          <w:p w14:paraId="60807FCA" w14:textId="77777777" w:rsidR="001A75B5" w:rsidRDefault="001A75B5">
            <w:pPr>
              <w:pStyle w:val="Default"/>
              <w:spacing w:line="276" w:lineRule="auto"/>
              <w:jc w:val="center"/>
              <w:rPr>
                <w:rFonts w:ascii="Arial" w:hAnsi="Arial" w:cs="Arial"/>
                <w:sz w:val="20"/>
                <w:szCs w:val="20"/>
              </w:rPr>
            </w:pPr>
            <w:r>
              <w:rPr>
                <w:rFonts w:ascii="Arial" w:hAnsi="Arial" w:cs="Arial"/>
                <w:sz w:val="20"/>
                <w:szCs w:val="20"/>
              </w:rPr>
              <w:t>EMD</w:t>
            </w:r>
          </w:p>
          <w:p w14:paraId="3CB3504F" w14:textId="77777777" w:rsidR="001A75B5" w:rsidRDefault="001A75B5">
            <w:pPr>
              <w:pStyle w:val="Default"/>
              <w:spacing w:line="276" w:lineRule="auto"/>
              <w:jc w:val="center"/>
              <w:rPr>
                <w:rFonts w:ascii="Arial" w:hAnsi="Arial" w:cs="Arial"/>
                <w:sz w:val="20"/>
                <w:szCs w:val="20"/>
              </w:rPr>
            </w:pPr>
            <w:r>
              <w:rPr>
                <w:rFonts w:ascii="Arial" w:hAnsi="Arial" w:cs="Arial"/>
                <w:sz w:val="20"/>
                <w:szCs w:val="20"/>
              </w:rPr>
              <w:t>(₹)</w:t>
            </w:r>
          </w:p>
        </w:tc>
        <w:tc>
          <w:tcPr>
            <w:tcW w:w="729" w:type="pct"/>
            <w:tcBorders>
              <w:top w:val="single" w:sz="4" w:space="0" w:color="auto"/>
              <w:left w:val="single" w:sz="4" w:space="0" w:color="auto"/>
              <w:bottom w:val="single" w:sz="4" w:space="0" w:color="auto"/>
              <w:right w:val="single" w:sz="4" w:space="0" w:color="auto"/>
            </w:tcBorders>
            <w:hideMark/>
          </w:tcPr>
          <w:p w14:paraId="461CBE11" w14:textId="77777777" w:rsidR="001A75B5" w:rsidRDefault="001A75B5">
            <w:pPr>
              <w:pStyle w:val="Default"/>
              <w:spacing w:line="276" w:lineRule="auto"/>
              <w:jc w:val="both"/>
              <w:rPr>
                <w:rFonts w:ascii="Arial" w:hAnsi="Arial" w:cs="Arial"/>
                <w:sz w:val="20"/>
                <w:szCs w:val="20"/>
              </w:rPr>
            </w:pPr>
            <w:r>
              <w:rPr>
                <w:rFonts w:ascii="Arial" w:hAnsi="Arial" w:cs="Arial"/>
                <w:sz w:val="20"/>
                <w:szCs w:val="20"/>
              </w:rPr>
              <w:t>Deadline for Tender Submission</w:t>
            </w:r>
          </w:p>
        </w:tc>
        <w:tc>
          <w:tcPr>
            <w:tcW w:w="729" w:type="pct"/>
            <w:tcBorders>
              <w:top w:val="single" w:sz="4" w:space="0" w:color="auto"/>
              <w:left w:val="single" w:sz="4" w:space="0" w:color="auto"/>
              <w:bottom w:val="single" w:sz="4" w:space="0" w:color="auto"/>
              <w:right w:val="single" w:sz="4" w:space="0" w:color="auto"/>
            </w:tcBorders>
            <w:hideMark/>
          </w:tcPr>
          <w:p w14:paraId="57B46412" w14:textId="77777777" w:rsidR="001A75B5" w:rsidRDefault="001A75B5">
            <w:pPr>
              <w:pStyle w:val="Default"/>
              <w:spacing w:line="276" w:lineRule="auto"/>
              <w:rPr>
                <w:rFonts w:ascii="Arial" w:hAnsi="Arial" w:cs="Arial"/>
                <w:sz w:val="20"/>
                <w:szCs w:val="20"/>
              </w:rPr>
            </w:pPr>
            <w:r>
              <w:rPr>
                <w:rFonts w:ascii="Arial" w:hAnsi="Arial" w:cs="Arial"/>
                <w:sz w:val="20"/>
                <w:szCs w:val="20"/>
              </w:rPr>
              <w:t xml:space="preserve">Schedule for </w:t>
            </w:r>
          </w:p>
          <w:p w14:paraId="3E6FF4D5" w14:textId="77777777" w:rsidR="001A75B5" w:rsidRDefault="001A75B5">
            <w:pPr>
              <w:pStyle w:val="Default"/>
              <w:spacing w:line="276" w:lineRule="auto"/>
              <w:rPr>
                <w:rFonts w:ascii="Arial" w:hAnsi="Arial" w:cs="Arial"/>
                <w:sz w:val="20"/>
                <w:szCs w:val="20"/>
              </w:rPr>
            </w:pPr>
            <w:r>
              <w:rPr>
                <w:rFonts w:ascii="Arial" w:hAnsi="Arial" w:cs="Arial"/>
                <w:sz w:val="20"/>
                <w:szCs w:val="20"/>
              </w:rPr>
              <w:t>Tender Opening</w:t>
            </w:r>
          </w:p>
        </w:tc>
      </w:tr>
      <w:tr w:rsidR="001A75B5" w14:paraId="56F54088" w14:textId="77777777" w:rsidTr="001A75B5">
        <w:trPr>
          <w:trHeight w:val="994"/>
        </w:trPr>
        <w:tc>
          <w:tcPr>
            <w:tcW w:w="726" w:type="pct"/>
            <w:tcBorders>
              <w:top w:val="single" w:sz="4" w:space="0" w:color="auto"/>
              <w:left w:val="single" w:sz="4" w:space="0" w:color="auto"/>
              <w:bottom w:val="single" w:sz="4" w:space="0" w:color="auto"/>
              <w:right w:val="single" w:sz="4" w:space="0" w:color="auto"/>
            </w:tcBorders>
            <w:hideMark/>
          </w:tcPr>
          <w:p w14:paraId="5AC9422F" w14:textId="77777777" w:rsidR="001A75B5" w:rsidRDefault="001A75B5">
            <w:pPr>
              <w:pStyle w:val="Default"/>
              <w:spacing w:line="276" w:lineRule="auto"/>
              <w:rPr>
                <w:rFonts w:ascii="Arial" w:hAnsi="Arial" w:cs="Arial"/>
                <w:sz w:val="20"/>
                <w:szCs w:val="20"/>
              </w:rPr>
            </w:pPr>
            <w:r>
              <w:rPr>
                <w:rFonts w:ascii="Arial" w:hAnsi="Arial" w:cs="Arial"/>
                <w:sz w:val="20"/>
                <w:szCs w:val="20"/>
              </w:rPr>
              <w:t>1</w:t>
            </w:r>
          </w:p>
        </w:tc>
        <w:tc>
          <w:tcPr>
            <w:tcW w:w="1554" w:type="pct"/>
            <w:tcBorders>
              <w:top w:val="single" w:sz="4" w:space="0" w:color="auto"/>
              <w:left w:val="single" w:sz="4" w:space="0" w:color="auto"/>
              <w:bottom w:val="single" w:sz="4" w:space="0" w:color="auto"/>
              <w:right w:val="single" w:sz="4" w:space="0" w:color="auto"/>
            </w:tcBorders>
            <w:hideMark/>
          </w:tcPr>
          <w:p w14:paraId="75FCECD9" w14:textId="44C3C993" w:rsidR="001A75B5" w:rsidRDefault="001A75B5">
            <w:pPr>
              <w:rPr>
                <w:rFonts w:ascii="Arial" w:hAnsi="Arial" w:cs="Arial"/>
                <w:b/>
                <w:color w:val="000000"/>
                <w:sz w:val="20"/>
                <w:szCs w:val="20"/>
              </w:rPr>
            </w:pPr>
            <w:r>
              <w:rPr>
                <w:rFonts w:ascii="Arial" w:hAnsi="Arial" w:cs="Arial"/>
                <w:b/>
                <w:color w:val="000000"/>
                <w:sz w:val="20"/>
                <w:szCs w:val="20"/>
              </w:rPr>
              <w:t xml:space="preserve">E bids for </w:t>
            </w:r>
            <w:r w:rsidR="0001257E">
              <w:rPr>
                <w:rFonts w:ascii="Arial" w:hAnsi="Arial" w:cs="Arial"/>
                <w:b/>
                <w:color w:val="000000"/>
                <w:sz w:val="20"/>
                <w:szCs w:val="20"/>
              </w:rPr>
              <w:t>electrical works at BKC</w:t>
            </w:r>
            <w:r>
              <w:rPr>
                <w:rFonts w:ascii="Arial" w:hAnsi="Arial" w:cs="Arial"/>
                <w:b/>
                <w:color w:val="000000"/>
                <w:sz w:val="20"/>
                <w:szCs w:val="20"/>
              </w:rPr>
              <w:t xml:space="preserve"> for Bank.</w:t>
            </w:r>
          </w:p>
        </w:tc>
        <w:tc>
          <w:tcPr>
            <w:tcW w:w="681" w:type="pct"/>
            <w:tcBorders>
              <w:top w:val="single" w:sz="4" w:space="0" w:color="auto"/>
              <w:left w:val="single" w:sz="4" w:space="0" w:color="auto"/>
              <w:bottom w:val="single" w:sz="4" w:space="0" w:color="auto"/>
              <w:right w:val="single" w:sz="4" w:space="0" w:color="auto"/>
            </w:tcBorders>
            <w:hideMark/>
          </w:tcPr>
          <w:p w14:paraId="031730A1" w14:textId="77777777" w:rsidR="001A75B5" w:rsidRDefault="001A75B5">
            <w:pPr>
              <w:pStyle w:val="Default"/>
              <w:spacing w:line="276" w:lineRule="auto"/>
              <w:rPr>
                <w:rFonts w:ascii="Arial" w:hAnsi="Arial" w:cs="Arial"/>
                <w:sz w:val="20"/>
                <w:szCs w:val="20"/>
              </w:rPr>
            </w:pPr>
            <w:r>
              <w:rPr>
                <w:rFonts w:ascii="Arial" w:hAnsi="Arial" w:cs="Arial"/>
                <w:sz w:val="20"/>
                <w:szCs w:val="20"/>
              </w:rPr>
              <w:t>As per tender</w:t>
            </w:r>
          </w:p>
        </w:tc>
        <w:tc>
          <w:tcPr>
            <w:tcW w:w="582" w:type="pct"/>
            <w:tcBorders>
              <w:top w:val="single" w:sz="4" w:space="0" w:color="auto"/>
              <w:left w:val="single" w:sz="4" w:space="0" w:color="auto"/>
              <w:bottom w:val="single" w:sz="4" w:space="0" w:color="auto"/>
              <w:right w:val="single" w:sz="4" w:space="0" w:color="auto"/>
            </w:tcBorders>
            <w:hideMark/>
          </w:tcPr>
          <w:p w14:paraId="2BB14444" w14:textId="725BFCBC" w:rsidR="001A75B5" w:rsidRDefault="0001257E">
            <w:pPr>
              <w:pStyle w:val="Default"/>
              <w:spacing w:line="276" w:lineRule="auto"/>
              <w:jc w:val="both"/>
              <w:rPr>
                <w:rFonts w:ascii="Arial" w:hAnsi="Arial" w:cs="Arial"/>
                <w:sz w:val="20"/>
                <w:szCs w:val="20"/>
              </w:rPr>
            </w:pPr>
            <w:r>
              <w:rPr>
                <w:rFonts w:ascii="Arial" w:hAnsi="Arial" w:cs="Arial"/>
                <w:sz w:val="20"/>
                <w:szCs w:val="20"/>
              </w:rPr>
              <w:t>18</w:t>
            </w:r>
            <w:r w:rsidR="001A75B5">
              <w:rPr>
                <w:rFonts w:ascii="Arial" w:hAnsi="Arial" w:cs="Arial"/>
                <w:sz w:val="20"/>
                <w:szCs w:val="20"/>
              </w:rPr>
              <w:t>000/</w:t>
            </w:r>
          </w:p>
        </w:tc>
        <w:tc>
          <w:tcPr>
            <w:tcW w:w="729" w:type="pct"/>
            <w:tcBorders>
              <w:top w:val="single" w:sz="4" w:space="0" w:color="auto"/>
              <w:left w:val="single" w:sz="4" w:space="0" w:color="auto"/>
              <w:bottom w:val="single" w:sz="4" w:space="0" w:color="auto"/>
              <w:right w:val="single" w:sz="4" w:space="0" w:color="auto"/>
            </w:tcBorders>
            <w:hideMark/>
          </w:tcPr>
          <w:p w14:paraId="4A94ABE3" w14:textId="631074DA" w:rsidR="001A75B5" w:rsidRDefault="0001257E">
            <w:pPr>
              <w:pStyle w:val="Default"/>
              <w:spacing w:line="276" w:lineRule="auto"/>
              <w:jc w:val="both"/>
              <w:rPr>
                <w:rFonts w:ascii="Arial" w:hAnsi="Arial" w:cs="Arial"/>
                <w:sz w:val="20"/>
                <w:szCs w:val="20"/>
              </w:rPr>
            </w:pPr>
            <w:r>
              <w:rPr>
                <w:rFonts w:ascii="Arial" w:hAnsi="Arial" w:cs="Arial"/>
                <w:sz w:val="20"/>
                <w:szCs w:val="20"/>
              </w:rPr>
              <w:t>17</w:t>
            </w:r>
            <w:r w:rsidR="001A75B5">
              <w:rPr>
                <w:rFonts w:ascii="Arial" w:hAnsi="Arial" w:cs="Arial"/>
                <w:sz w:val="20"/>
                <w:szCs w:val="20"/>
              </w:rPr>
              <w:t>.0</w:t>
            </w:r>
            <w:r>
              <w:rPr>
                <w:rFonts w:ascii="Arial" w:hAnsi="Arial" w:cs="Arial"/>
                <w:sz w:val="20"/>
                <w:szCs w:val="20"/>
              </w:rPr>
              <w:t>7</w:t>
            </w:r>
            <w:r w:rsidR="001A75B5">
              <w:rPr>
                <w:rFonts w:ascii="Arial" w:hAnsi="Arial" w:cs="Arial"/>
                <w:sz w:val="20"/>
                <w:szCs w:val="20"/>
              </w:rPr>
              <w:t>.2</w:t>
            </w:r>
            <w:r>
              <w:rPr>
                <w:rFonts w:ascii="Arial" w:hAnsi="Arial" w:cs="Arial"/>
                <w:sz w:val="20"/>
                <w:szCs w:val="20"/>
              </w:rPr>
              <w:t>6</w:t>
            </w:r>
          </w:p>
        </w:tc>
        <w:tc>
          <w:tcPr>
            <w:tcW w:w="729" w:type="pct"/>
            <w:tcBorders>
              <w:top w:val="single" w:sz="4" w:space="0" w:color="auto"/>
              <w:left w:val="single" w:sz="4" w:space="0" w:color="auto"/>
              <w:bottom w:val="single" w:sz="4" w:space="0" w:color="auto"/>
              <w:right w:val="single" w:sz="4" w:space="0" w:color="auto"/>
            </w:tcBorders>
            <w:hideMark/>
          </w:tcPr>
          <w:p w14:paraId="44930360" w14:textId="77777777" w:rsidR="001A75B5" w:rsidRDefault="001A75B5">
            <w:pPr>
              <w:pStyle w:val="Default"/>
              <w:spacing w:line="276" w:lineRule="auto"/>
              <w:rPr>
                <w:rFonts w:ascii="Arial" w:hAnsi="Arial" w:cs="Arial"/>
                <w:sz w:val="20"/>
                <w:szCs w:val="20"/>
              </w:rPr>
            </w:pPr>
            <w:r>
              <w:rPr>
                <w:rFonts w:ascii="Arial" w:hAnsi="Arial" w:cs="Arial"/>
                <w:sz w:val="20"/>
                <w:szCs w:val="20"/>
              </w:rPr>
              <w:t>As per tender</w:t>
            </w:r>
          </w:p>
        </w:tc>
      </w:tr>
    </w:tbl>
    <w:p w14:paraId="19B98643" w14:textId="77777777" w:rsidR="001A75B5" w:rsidRDefault="001A75B5" w:rsidP="001A75B5">
      <w:pPr>
        <w:pStyle w:val="Default"/>
        <w:spacing w:line="276" w:lineRule="auto"/>
        <w:jc w:val="both"/>
        <w:rPr>
          <w:rFonts w:ascii="Arial" w:hAnsi="Arial" w:cs="Arial"/>
          <w:sz w:val="20"/>
          <w:szCs w:val="20"/>
        </w:rPr>
      </w:pPr>
    </w:p>
    <w:p w14:paraId="7D607E8B"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 xml:space="preserve">Tendering shall be conducted in accordance with Open Tender procedures of the Bank. Prospective bidders must take note of the qualification requirements as specified in the tender documents. Bids must be accompanied by Earnest Money Deposit (EMD) in an acceptable form and amount as specified in the tender document. EMD should be submitted in a separate cover. </w:t>
      </w:r>
    </w:p>
    <w:p w14:paraId="79E3A243" w14:textId="432F4152"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 xml:space="preserve">A complete set of tender documents may be purchased by interested prospective bidders from address specified below upon payment of a non-refundable fee </w:t>
      </w:r>
      <w:r>
        <w:rPr>
          <w:rFonts w:ascii="Arial" w:hAnsi="Arial" w:cs="Arial"/>
          <w:sz w:val="20"/>
          <w:szCs w:val="20"/>
          <w:highlight w:val="yellow"/>
        </w:rPr>
        <w:t>of ₹</w:t>
      </w:r>
      <w:r w:rsidR="0001257E">
        <w:rPr>
          <w:rFonts w:ascii="Arial" w:hAnsi="Arial" w:cs="Arial"/>
          <w:sz w:val="20"/>
          <w:szCs w:val="20"/>
          <w:highlight w:val="yellow"/>
        </w:rPr>
        <w:t>2</w:t>
      </w:r>
      <w:r>
        <w:rPr>
          <w:rFonts w:ascii="Arial" w:hAnsi="Arial" w:cs="Arial"/>
          <w:sz w:val="20"/>
          <w:szCs w:val="20"/>
          <w:highlight w:val="yellow"/>
        </w:rPr>
        <w:t>000(Rupees5000</w:t>
      </w:r>
      <w:r>
        <w:rPr>
          <w:rFonts w:ascii="Arial" w:hAnsi="Arial" w:cs="Arial"/>
          <w:sz w:val="20"/>
          <w:szCs w:val="20"/>
        </w:rPr>
        <w:t xml:space="preserve">) by </w:t>
      </w:r>
      <w:r w:rsidR="0001257E">
        <w:rPr>
          <w:rFonts w:ascii="Arial" w:hAnsi="Arial" w:cs="Arial"/>
          <w:sz w:val="20"/>
          <w:szCs w:val="20"/>
        </w:rPr>
        <w:t xml:space="preserve">neft/rtgs </w:t>
      </w:r>
      <w:r>
        <w:rPr>
          <w:rFonts w:ascii="Arial" w:hAnsi="Arial" w:cs="Arial"/>
          <w:sz w:val="20"/>
          <w:szCs w:val="20"/>
        </w:rPr>
        <w:t xml:space="preserve"> in favour of Central Bank of India payable at Mumbai. Alternatively, the same can be deposited to the account number </w:t>
      </w:r>
      <w:r w:rsidR="00293CF3">
        <w:rPr>
          <w:rFonts w:ascii="Arial" w:hAnsi="Arial" w:cs="Arial"/>
          <w:sz w:val="20"/>
          <w:szCs w:val="20"/>
        </w:rPr>
        <w:t>1122845035</w:t>
      </w:r>
      <w:r>
        <w:rPr>
          <w:rFonts w:ascii="Arial" w:hAnsi="Arial" w:cs="Arial"/>
          <w:sz w:val="20"/>
          <w:szCs w:val="20"/>
          <w:highlight w:val="yellow"/>
        </w:rPr>
        <w:t xml:space="preserve"> IFSC</w:t>
      </w:r>
      <w:r w:rsidR="00293CF3">
        <w:rPr>
          <w:rFonts w:ascii="Arial" w:hAnsi="Arial" w:cs="Arial"/>
          <w:sz w:val="20"/>
          <w:szCs w:val="20"/>
          <w:highlight w:val="yellow"/>
        </w:rPr>
        <w:t>CBIN0281067</w:t>
      </w:r>
      <w:r>
        <w:rPr>
          <w:rFonts w:ascii="Arial" w:hAnsi="Arial" w:cs="Arial"/>
          <w:sz w:val="20"/>
          <w:szCs w:val="20"/>
        </w:rPr>
        <w:t xml:space="preserve">.  Any tender not accompanied with the EMD or the specified fee shall be rejected. </w:t>
      </w:r>
    </w:p>
    <w:p w14:paraId="2CD4E9A4" w14:textId="77777777" w:rsidR="001A75B5" w:rsidRDefault="001A75B5" w:rsidP="001A75B5">
      <w:pPr>
        <w:pStyle w:val="Default"/>
        <w:spacing w:line="276" w:lineRule="auto"/>
        <w:jc w:val="both"/>
        <w:rPr>
          <w:rFonts w:ascii="Arial" w:hAnsi="Arial" w:cs="Arial"/>
          <w:sz w:val="20"/>
          <w:szCs w:val="20"/>
        </w:rPr>
      </w:pPr>
    </w:p>
    <w:p w14:paraId="7F13F172"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 xml:space="preserve">Tender offers will be opened Online as per the schedule mentioned above. Technical specifications, Terms and conditions, and various formats for submitting the tender offer are described in the tender document. </w:t>
      </w:r>
    </w:p>
    <w:p w14:paraId="3B229D72" w14:textId="77777777" w:rsidR="001A75B5" w:rsidRDefault="001A75B5" w:rsidP="001A75B5">
      <w:pPr>
        <w:pStyle w:val="Default"/>
        <w:spacing w:line="276" w:lineRule="auto"/>
        <w:jc w:val="both"/>
        <w:rPr>
          <w:rFonts w:ascii="Arial" w:hAnsi="Arial" w:cs="Arial"/>
          <w:sz w:val="20"/>
          <w:szCs w:val="20"/>
        </w:rPr>
      </w:pPr>
    </w:p>
    <w:p w14:paraId="39FF0225"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The Bank is not bound to accept any particular tender received in response to this invitation and reserves the right to reject all tenders and cancel the tendering process at any time without any liability to any party whatsoever.</w:t>
      </w:r>
    </w:p>
    <w:p w14:paraId="07021638" w14:textId="77777777" w:rsidR="001A75B5" w:rsidRDefault="001A75B5" w:rsidP="001A75B5">
      <w:pPr>
        <w:pStyle w:val="Default"/>
        <w:spacing w:line="276" w:lineRule="auto"/>
        <w:jc w:val="both"/>
        <w:rPr>
          <w:rFonts w:ascii="Arial" w:hAnsi="Arial" w:cs="Arial"/>
          <w:sz w:val="20"/>
          <w:szCs w:val="20"/>
        </w:rPr>
      </w:pPr>
    </w:p>
    <w:p w14:paraId="761B0E79" w14:textId="77777777" w:rsidR="001A75B5" w:rsidRDefault="001A75B5" w:rsidP="001A75B5">
      <w:pPr>
        <w:pStyle w:val="Default"/>
        <w:spacing w:line="276" w:lineRule="auto"/>
        <w:jc w:val="both"/>
        <w:rPr>
          <w:rFonts w:ascii="Arial" w:hAnsi="Arial" w:cs="Arial"/>
          <w:sz w:val="20"/>
          <w:szCs w:val="20"/>
        </w:rPr>
      </w:pPr>
    </w:p>
    <w:p w14:paraId="070737A3" w14:textId="77777777" w:rsidR="001A75B5" w:rsidRDefault="001A75B5" w:rsidP="001A75B5">
      <w:pPr>
        <w:pStyle w:val="Default"/>
        <w:spacing w:line="276" w:lineRule="auto"/>
        <w:jc w:val="both"/>
        <w:rPr>
          <w:rFonts w:ascii="Arial" w:hAnsi="Arial" w:cs="Arial"/>
          <w:sz w:val="20"/>
          <w:szCs w:val="20"/>
        </w:rPr>
      </w:pPr>
    </w:p>
    <w:p w14:paraId="3AEE2F79"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AGM -electrical</w:t>
      </w:r>
    </w:p>
    <w:p w14:paraId="5EA004D4"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 xml:space="preserve">Central Bank of India, </w:t>
      </w:r>
    </w:p>
    <w:p w14:paraId="3BE62AFB" w14:textId="77777777" w:rsidR="001A75B5" w:rsidRDefault="001A75B5" w:rsidP="001A75B5">
      <w:pPr>
        <w:pStyle w:val="Default"/>
        <w:spacing w:line="276" w:lineRule="auto"/>
        <w:jc w:val="both"/>
        <w:rPr>
          <w:rFonts w:ascii="Arial" w:hAnsi="Arial" w:cs="Arial"/>
          <w:sz w:val="20"/>
          <w:szCs w:val="20"/>
        </w:rPr>
      </w:pPr>
      <w:r>
        <w:rPr>
          <w:rFonts w:ascii="Arial" w:hAnsi="Arial" w:cs="Arial"/>
          <w:sz w:val="20"/>
          <w:szCs w:val="20"/>
        </w:rPr>
        <w:t>7045445080</w:t>
      </w:r>
    </w:p>
    <w:p w14:paraId="080BC397" w14:textId="77777777" w:rsidR="00B84C3C" w:rsidRDefault="00B84C3C"/>
    <w:sectPr w:rsidR="00B84C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5B5"/>
    <w:rsid w:val="0001257E"/>
    <w:rsid w:val="001A75B5"/>
    <w:rsid w:val="00293CF3"/>
    <w:rsid w:val="002F345B"/>
    <w:rsid w:val="00385827"/>
    <w:rsid w:val="00824A55"/>
    <w:rsid w:val="00885A2B"/>
    <w:rsid w:val="00B84C3C"/>
    <w:rsid w:val="00F16A4A"/>
    <w:rsid w:val="00FA092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EB54F"/>
  <w15:docId w15:val="{5E44AB3A-1673-4E34-B526-E0359573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5B5"/>
    <w:pPr>
      <w:spacing w:after="160" w:line="254"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A75B5"/>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59"/>
    <w:rsid w:val="001A75B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496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 SAXENA</dc:creator>
  <cp:lastModifiedBy>VIJAY SAXENA</cp:lastModifiedBy>
  <cp:revision>6</cp:revision>
  <dcterms:created xsi:type="dcterms:W3CDTF">2026-06-26T05:14:00Z</dcterms:created>
  <dcterms:modified xsi:type="dcterms:W3CDTF">2026-06-26T07:11:00Z</dcterms:modified>
</cp:coreProperties>
</file>